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8B83D" w14:textId="77777777" w:rsidR="00CE7023" w:rsidRDefault="00CE7023" w:rsidP="00CE7023">
      <w:pPr>
        <w:pStyle w:val="NormalWeb"/>
        <w:spacing w:before="0" w:beforeAutospacing="0" w:after="0" w:afterAutospacing="0"/>
        <w:jc w:val="both"/>
      </w:pPr>
      <w:r>
        <w:rPr>
          <w:rFonts w:ascii="Arial" w:hAnsi="Arial" w:cs="Arial"/>
          <w:b/>
          <w:bCs/>
          <w:color w:val="000000"/>
          <w:sz w:val="28"/>
          <w:szCs w:val="28"/>
        </w:rPr>
        <w:t>TODAY’S TIP</w:t>
      </w:r>
    </w:p>
    <w:p w14:paraId="5170CBCF" w14:textId="77777777" w:rsidR="00CE7023" w:rsidRDefault="00CE7023" w:rsidP="00CE7023">
      <w:pPr>
        <w:pStyle w:val="NormalWeb"/>
        <w:spacing w:before="0" w:beforeAutospacing="0" w:after="0" w:afterAutospacing="0"/>
        <w:jc w:val="both"/>
      </w:pPr>
      <w:r>
        <w:rPr>
          <w:rFonts w:ascii="Arial" w:hAnsi="Arial" w:cs="Arial"/>
          <w:b/>
          <w:bCs/>
          <w:color w:val="000000"/>
          <w:sz w:val="28"/>
          <w:szCs w:val="28"/>
        </w:rPr>
        <w:t> </w:t>
      </w:r>
    </w:p>
    <w:p w14:paraId="6F47ACB9" w14:textId="77777777" w:rsidR="00CE7023" w:rsidRDefault="00CE7023" w:rsidP="00CE7023">
      <w:pPr>
        <w:pStyle w:val="NormalWeb"/>
        <w:spacing w:before="0" w:beforeAutospacing="0" w:after="0" w:afterAutospacing="0"/>
        <w:ind w:left="2160" w:hanging="2160"/>
        <w:jc w:val="both"/>
      </w:pPr>
      <w:r>
        <w:rPr>
          <w:rFonts w:ascii="Arial" w:hAnsi="Arial" w:cs="Arial"/>
          <w:b/>
          <w:bCs/>
          <w:color w:val="000000"/>
          <w:sz w:val="28"/>
          <w:szCs w:val="28"/>
        </w:rPr>
        <w:t>QUESTION:        When I receive a court order requiring a Marchman Act transport (i.e., court order for assessment and stabilization), must I transport to the facility specified in the order, or can I transport to the nearest receiving facility as permitted under the Baker Act?</w:t>
      </w:r>
    </w:p>
    <w:p w14:paraId="2BBA1DF5" w14:textId="77777777" w:rsidR="00CE7023" w:rsidRDefault="00CE7023" w:rsidP="00CE7023">
      <w:pPr>
        <w:pStyle w:val="NormalWeb"/>
        <w:spacing w:before="0" w:beforeAutospacing="0" w:after="0" w:afterAutospacing="0"/>
        <w:ind w:left="2160" w:hanging="2160"/>
        <w:jc w:val="both"/>
      </w:pPr>
      <w:r>
        <w:rPr>
          <w:rFonts w:ascii="Times New Roman" w:hAnsi="Times New Roman" w:cs="Times New Roman"/>
          <w:b/>
          <w:bCs/>
          <w:noProof/>
          <w:color w:val="000000"/>
          <w:sz w:val="24"/>
          <w:szCs w:val="24"/>
        </w:rPr>
        <w:drawing>
          <wp:inline distT="0" distB="0" distL="0" distR="0" wp14:anchorId="20425696" wp14:editId="2C008BBD">
            <wp:extent cx="4267200" cy="4267200"/>
            <wp:effectExtent l="0" t="0" r="0" b="0"/>
            <wp:docPr id="1" name="Picture 1" descr="cid:autoGeneratedInlin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autoGeneratedInlineImage1"/>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4267200" cy="4267200"/>
                    </a:xfrm>
                    <a:prstGeom prst="rect">
                      <a:avLst/>
                    </a:prstGeom>
                    <a:noFill/>
                    <a:ln>
                      <a:noFill/>
                    </a:ln>
                  </pic:spPr>
                </pic:pic>
              </a:graphicData>
            </a:graphic>
          </wp:inline>
        </w:drawing>
      </w:r>
    </w:p>
    <w:p w14:paraId="1E1C1773" w14:textId="77777777" w:rsidR="00CE7023" w:rsidRDefault="00CE7023" w:rsidP="00CE7023">
      <w:pPr>
        <w:pStyle w:val="NormalWeb"/>
        <w:spacing w:before="0" w:beforeAutospacing="0" w:after="0" w:afterAutospacing="0"/>
        <w:ind w:left="2160" w:hanging="2160"/>
        <w:jc w:val="both"/>
      </w:pPr>
      <w:r>
        <w:rPr>
          <w:rFonts w:ascii="Arial" w:hAnsi="Arial" w:cs="Arial"/>
          <w:b/>
          <w:bCs/>
          <w:color w:val="000000"/>
          <w:sz w:val="12"/>
          <w:szCs w:val="12"/>
        </w:rPr>
        <w:t xml:space="preserve">Photo courtesy of: </w:t>
      </w:r>
      <w:hyperlink r:id="rId6" w:history="1">
        <w:r>
          <w:rPr>
            <w:rStyle w:val="Hyperlink"/>
            <w:rFonts w:ascii="Arial" w:hAnsi="Arial" w:cs="Arial"/>
            <w:b/>
            <w:bCs/>
            <w:color w:val="0563C1"/>
            <w:sz w:val="12"/>
            <w:szCs w:val="12"/>
          </w:rPr>
          <w:t>https://www.healthtap.com/topics/what-is-the-difference-between-chemical-dependency-and-substance-abuse</w:t>
        </w:r>
      </w:hyperlink>
    </w:p>
    <w:p w14:paraId="36BC4948" w14:textId="77777777" w:rsidR="00CE7023" w:rsidRDefault="00CE7023" w:rsidP="00CE7023">
      <w:pPr>
        <w:pStyle w:val="NormalWeb"/>
        <w:spacing w:before="0" w:beforeAutospacing="0" w:after="0" w:afterAutospacing="0"/>
        <w:ind w:left="2160" w:hanging="2160"/>
        <w:jc w:val="both"/>
      </w:pPr>
      <w:r>
        <w:rPr>
          <w:rFonts w:ascii="Arial" w:hAnsi="Arial" w:cs="Arial"/>
          <w:b/>
          <w:bCs/>
          <w:color w:val="000000"/>
          <w:sz w:val="12"/>
          <w:szCs w:val="12"/>
        </w:rPr>
        <w:t> </w:t>
      </w:r>
    </w:p>
    <w:p w14:paraId="705412F7" w14:textId="7962ECA6" w:rsidR="00CE7023" w:rsidRDefault="00CE7023" w:rsidP="00CE7023">
      <w:pPr>
        <w:pStyle w:val="NormalWeb"/>
        <w:spacing w:before="0" w:beforeAutospacing="0" w:after="0" w:afterAutospacing="0"/>
        <w:ind w:left="2160" w:hanging="2070"/>
        <w:jc w:val="both"/>
      </w:pPr>
    </w:p>
    <w:p w14:paraId="64687654" w14:textId="77777777" w:rsidR="00CE7023" w:rsidRDefault="00CE7023" w:rsidP="00CE7023">
      <w:pPr>
        <w:pStyle w:val="NormalWeb"/>
        <w:spacing w:before="0" w:beforeAutospacing="0" w:after="0" w:afterAutospacing="0"/>
        <w:ind w:left="2160" w:hanging="2070"/>
        <w:jc w:val="both"/>
      </w:pPr>
      <w:r>
        <w:rPr>
          <w:rFonts w:ascii="Arial" w:hAnsi="Arial" w:cs="Arial"/>
          <w:b/>
          <w:bCs/>
          <w:color w:val="000000"/>
          <w:sz w:val="28"/>
          <w:szCs w:val="28"/>
        </w:rPr>
        <w:t>ANSWER:         You must transport to the facility specified in the court order.  The order will usually designate that adults be transported to one of the Jackson Crisis facilities and that juveniles be transported to the Citrus Health Network.   </w:t>
      </w:r>
    </w:p>
    <w:p w14:paraId="7F46D8C9" w14:textId="77777777" w:rsidR="00CE7023" w:rsidRDefault="00CE7023" w:rsidP="00CE7023">
      <w:pPr>
        <w:pStyle w:val="NormalWeb"/>
        <w:spacing w:before="0" w:beforeAutospacing="0" w:after="0" w:afterAutospacing="0"/>
        <w:ind w:left="2160" w:hanging="2070"/>
        <w:jc w:val="both"/>
        <w:rPr>
          <w:rFonts w:ascii="Arial" w:hAnsi="Arial" w:cs="Arial"/>
          <w:b/>
          <w:bCs/>
          <w:color w:val="000000"/>
          <w:sz w:val="28"/>
          <w:szCs w:val="28"/>
        </w:rPr>
      </w:pPr>
    </w:p>
    <w:p w14:paraId="3C6224F8" w14:textId="631D8A13" w:rsidR="00CE7023" w:rsidRDefault="00CE7023" w:rsidP="00CE7023">
      <w:pPr>
        <w:pStyle w:val="NormalWeb"/>
        <w:spacing w:before="0" w:beforeAutospacing="0" w:after="0" w:afterAutospacing="0"/>
        <w:ind w:left="2160" w:hanging="2070"/>
        <w:jc w:val="both"/>
      </w:pPr>
      <w:bookmarkStart w:id="0" w:name="_GoBack"/>
      <w:bookmarkEnd w:id="0"/>
      <w:r>
        <w:rPr>
          <w:rFonts w:ascii="Arial" w:hAnsi="Arial" w:cs="Arial"/>
          <w:b/>
          <w:bCs/>
          <w:color w:val="000000"/>
          <w:sz w:val="28"/>
          <w:szCs w:val="28"/>
        </w:rPr>
        <w:t xml:space="preserve">                           Remember, Baker Act receiving facilities do </w:t>
      </w:r>
      <w:r>
        <w:rPr>
          <w:rFonts w:ascii="Arial" w:hAnsi="Arial" w:cs="Arial"/>
          <w:b/>
          <w:bCs/>
          <w:color w:val="000000"/>
          <w:sz w:val="28"/>
          <w:szCs w:val="28"/>
          <w:u w:val="single"/>
        </w:rPr>
        <w:t>not</w:t>
      </w:r>
      <w:r>
        <w:rPr>
          <w:rFonts w:ascii="Arial" w:hAnsi="Arial" w:cs="Arial"/>
          <w:b/>
          <w:bCs/>
          <w:color w:val="000000"/>
          <w:sz w:val="28"/>
          <w:szCs w:val="28"/>
        </w:rPr>
        <w:t xml:space="preserve"> offer addictions services and treatment.</w:t>
      </w:r>
    </w:p>
    <w:p w14:paraId="1C310966" w14:textId="77777777" w:rsidR="00CE7023" w:rsidRDefault="00CE7023"/>
    <w:sectPr w:rsidR="00CE70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023"/>
    <w:rsid w:val="00CE7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BA12C"/>
  <w15:chartTrackingRefBased/>
  <w15:docId w15:val="{0C56D6D1-EB82-4DD5-80C8-AC138338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E7023"/>
    <w:rPr>
      <w:color w:val="0000FF"/>
      <w:u w:val="single"/>
    </w:rPr>
  </w:style>
  <w:style w:type="paragraph" w:styleId="NormalWeb">
    <w:name w:val="Normal (Web)"/>
    <w:basedOn w:val="Normal"/>
    <w:uiPriority w:val="99"/>
    <w:semiHidden/>
    <w:unhideWhenUsed/>
    <w:rsid w:val="00CE7023"/>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80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healthtap.com/topics/what-is-the-difference-between-chemical-dependency-and-substance-abuse" TargetMode="External"/><Relationship Id="rId5" Type="http://schemas.openxmlformats.org/officeDocument/2006/relationships/image" Target="cid:autoGeneratedInlineImage1"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Ceballos</dc:creator>
  <cp:keywords/>
  <dc:description/>
  <cp:lastModifiedBy>Samuel Ceballos</cp:lastModifiedBy>
  <cp:revision>1</cp:revision>
  <dcterms:created xsi:type="dcterms:W3CDTF">2018-07-05T12:35:00Z</dcterms:created>
  <dcterms:modified xsi:type="dcterms:W3CDTF">2018-07-05T12:36:00Z</dcterms:modified>
</cp:coreProperties>
</file>